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7B" w:rsidRDefault="00D9057B" w:rsidP="00F553F8">
      <w:pP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</w:p>
    <w:p w:rsidR="00D9057B" w:rsidRDefault="0022604E" w:rsidP="00316F79">
      <w:pP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22604E">
        <w:rPr>
          <w:rFonts w:ascii="Marianne" w:eastAsia="Times New Roman" w:hAnsi="Marianne" w:cs="Times New Roman"/>
          <w:sz w:val="18"/>
          <w:szCs w:val="18"/>
          <w:lang w:eastAsia="fr-FR"/>
        </w:rPr>
        <w:t>La circulaire en vigueur reste celle du 8/12/2020</w:t>
      </w:r>
      <w:r w:rsidR="00D9057B">
        <w:rPr>
          <w:rFonts w:ascii="Calibri" w:eastAsia="Times New Roman" w:hAnsi="Calibri" w:cs="Calibri"/>
          <w:sz w:val="18"/>
          <w:szCs w:val="18"/>
          <w:lang w:eastAsia="fr-FR"/>
        </w:rPr>
        <w:t> </w:t>
      </w:r>
    </w:p>
    <w:p w:rsidR="003F4EF0" w:rsidRPr="00D9057B" w:rsidRDefault="00D9057B" w:rsidP="00316F79">
      <w:pP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  <w:r>
        <w:rPr>
          <w:rFonts w:ascii="Marianne" w:eastAsia="Times New Roman" w:hAnsi="Marianne" w:cs="Times New Roman"/>
          <w:b/>
          <w:sz w:val="20"/>
          <w:szCs w:val="20"/>
          <w:lang w:eastAsia="fr-FR"/>
        </w:rPr>
        <w:t>L</w:t>
      </w:r>
      <w:r w:rsidR="00316F79" w:rsidRPr="009158E9">
        <w:rPr>
          <w:rFonts w:ascii="Marianne" w:eastAsia="Times New Roman" w:hAnsi="Marianne" w:cs="Times New Roman"/>
          <w:b/>
          <w:sz w:val="20"/>
          <w:szCs w:val="20"/>
          <w:lang w:eastAsia="fr-FR"/>
        </w:rPr>
        <w:t>e candidat</w:t>
      </w:r>
      <w:r w:rsidR="003F4EF0" w:rsidRPr="009158E9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présentant un handicap</w:t>
      </w:r>
      <w:r w:rsidR="003F4EF0" w:rsidRPr="00930EA1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tel que défini à l’article L.114 du code de l’action sociale et des familles </w:t>
      </w:r>
      <w:r w:rsidR="00316F79" w:rsidRPr="009158E9">
        <w:rPr>
          <w:rFonts w:ascii="Marianne" w:eastAsia="Times New Roman" w:hAnsi="Marianne" w:cs="Times New Roman"/>
          <w:bCs/>
          <w:sz w:val="20"/>
          <w:szCs w:val="20"/>
          <w:lang w:eastAsia="fr-FR"/>
        </w:rPr>
        <w:t>peu</w:t>
      </w:r>
      <w:r w:rsidR="003F4EF0" w:rsidRPr="009158E9">
        <w:rPr>
          <w:rFonts w:ascii="Marianne" w:eastAsia="Times New Roman" w:hAnsi="Marianne" w:cs="Times New Roman"/>
          <w:bCs/>
          <w:sz w:val="20"/>
          <w:szCs w:val="20"/>
          <w:lang w:eastAsia="fr-FR"/>
        </w:rPr>
        <w:t>t bénéficier d’aménagements des conditions de passation des épreuves d'examen</w:t>
      </w:r>
      <w:r w:rsidR="003F4EF0" w:rsidRPr="009158E9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D9057B" w:rsidRDefault="00D9057B" w:rsidP="0022604E">
      <w:pPr>
        <w:spacing w:after="12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D9057B" w:rsidRDefault="00D9057B" w:rsidP="00D9057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Les </w:t>
      </w:r>
      <w:r w:rsidR="0022604E" w:rsidRPr="0022604E">
        <w:rPr>
          <w:rFonts w:ascii="Marianne" w:eastAsia="Times New Roman" w:hAnsi="Marianne" w:cs="Times New Roman"/>
          <w:sz w:val="20"/>
          <w:szCs w:val="20"/>
          <w:lang w:eastAsia="fr-FR"/>
        </w:rPr>
        <w:t>imprimés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sont les mêmes que </w:t>
      </w:r>
      <w:r w:rsidR="0022604E">
        <w:rPr>
          <w:rFonts w:ascii="Marianne" w:eastAsia="Times New Roman" w:hAnsi="Marianne" w:cs="Times New Roman"/>
          <w:sz w:val="20"/>
          <w:szCs w:val="20"/>
          <w:lang w:eastAsia="fr-FR"/>
        </w:rPr>
        <w:t>l’an dernier, accessibles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sur</w:t>
      </w:r>
      <w:r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:</w:t>
      </w:r>
    </w:p>
    <w:p w:rsidR="0022604E" w:rsidRDefault="00EF7D91" w:rsidP="00D9057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hyperlink r:id="rId7" w:history="1">
        <w:r w:rsidR="00D9057B" w:rsidRPr="000A7C2E">
          <w:rPr>
            <w:rStyle w:val="Lienhypertexte"/>
            <w:rFonts w:ascii="Marianne" w:eastAsia="Times New Roman" w:hAnsi="Marianne" w:cs="Times New Roman"/>
            <w:sz w:val="20"/>
            <w:szCs w:val="20"/>
            <w:lang w:eastAsia="fr-FR"/>
          </w:rPr>
          <w:t>https://www.education.gouv.fr/bo/22/Hebdo14/MENE2204112C.htm</w:t>
        </w:r>
      </w:hyperlink>
    </w:p>
    <w:p w:rsidR="00D9057B" w:rsidRDefault="00D9057B" w:rsidP="00D9057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D9057B" w:rsidRDefault="00D9057B" w:rsidP="00D9057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D9057B" w:rsidRPr="00D9057B" w:rsidRDefault="00D9057B" w:rsidP="00D9057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20279A" w:rsidRDefault="007D3204" w:rsidP="0020279A">
      <w:pPr>
        <w:spacing w:after="0" w:line="240" w:lineRule="auto"/>
        <w:jc w:val="center"/>
        <w:rPr>
          <w:rFonts w:ascii="Marianne" w:eastAsia="Times New Roman" w:hAnsi="Marianne" w:cs="Times New Roman"/>
          <w:sz w:val="24"/>
          <w:szCs w:val="24"/>
          <w:lang w:eastAsia="fr-FR"/>
        </w:rPr>
      </w:pPr>
      <w:r w:rsidRPr="00E47E9E">
        <w:rPr>
          <w:rFonts w:ascii="Marianne" w:eastAsia="Times New Roman" w:hAnsi="Marianne" w:cs="Times New Roman"/>
          <w:b/>
          <w:sz w:val="24"/>
          <w:szCs w:val="24"/>
          <w:u w:val="single"/>
          <w:lang w:eastAsia="fr-FR"/>
        </w:rPr>
        <w:t>PROCÉDURE SIMPLIFIÉE</w:t>
      </w:r>
      <w:r w:rsidRPr="00E47E9E">
        <w:rPr>
          <w:rFonts w:ascii="Calibri" w:eastAsia="Times New Roman" w:hAnsi="Calibri" w:cs="Calibri"/>
          <w:sz w:val="24"/>
          <w:szCs w:val="24"/>
          <w:lang w:eastAsia="fr-FR"/>
        </w:rPr>
        <w:t> </w:t>
      </w:r>
      <w:r w:rsidRPr="00E47E9E">
        <w:rPr>
          <w:rFonts w:ascii="Marianne" w:eastAsia="Times New Roman" w:hAnsi="Marianne" w:cs="Times New Roman"/>
          <w:sz w:val="24"/>
          <w:szCs w:val="24"/>
          <w:lang w:eastAsia="fr-FR"/>
        </w:rPr>
        <w:t>:</w:t>
      </w:r>
    </w:p>
    <w:p w:rsidR="00550A07" w:rsidRPr="00E47E9E" w:rsidRDefault="00550A07" w:rsidP="0020279A">
      <w:pPr>
        <w:spacing w:after="0" w:line="240" w:lineRule="auto"/>
        <w:jc w:val="center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8E02A0" w:rsidRDefault="0099271D" w:rsidP="008E02A0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:</w:t>
      </w:r>
      <w:r w:rsidR="008E02A0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8E02A0" w:rsidTr="00E47E9E">
        <w:tc>
          <w:tcPr>
            <w:tcW w:w="1980" w:type="dxa"/>
          </w:tcPr>
          <w:p w:rsidR="00D9057B" w:rsidRDefault="00D9057B" w:rsidP="00AA3D62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8E02A0" w:rsidRPr="008E02A0" w:rsidRDefault="008E02A0" w:rsidP="00AA3D62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E02A0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Concerne</w:t>
            </w:r>
          </w:p>
        </w:tc>
        <w:tc>
          <w:tcPr>
            <w:tcW w:w="7649" w:type="dxa"/>
          </w:tcPr>
          <w:p w:rsidR="00550A07" w:rsidRDefault="00550A07" w:rsidP="008E02A0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8E02A0" w:rsidRDefault="008E02A0" w:rsidP="008E02A0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Les</w:t>
            </w:r>
            <w:r w:rsidRPr="00930EA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candidat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</w:t>
            </w:r>
            <w:r w:rsidRPr="00930EA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  <w:r w:rsidR="00D9057B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ayant déjà des adaptations pédagogiques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  <w:r w:rsidR="00D9057B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et dont les aménagements demandés pour l’examen sont en cohérence</w:t>
            </w:r>
          </w:p>
          <w:p w:rsidR="008E02A0" w:rsidRDefault="008E02A0" w:rsidP="00D9057B">
            <w:pPr>
              <w:pStyle w:val="Paragraphedeliste"/>
              <w:spacing w:after="0" w:line="240" w:lineRule="auto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8E02A0" w:rsidTr="00E47E9E">
        <w:tc>
          <w:tcPr>
            <w:tcW w:w="1980" w:type="dxa"/>
          </w:tcPr>
          <w:p w:rsidR="008E02A0" w:rsidRPr="008E02A0" w:rsidRDefault="00D9057B" w:rsidP="00D9057B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Quels documents transmettre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7649" w:type="dxa"/>
          </w:tcPr>
          <w:p w:rsidR="00D9057B" w:rsidRPr="00D9057B" w:rsidRDefault="00D9057B" w:rsidP="00D9057B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47FA6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NOUVEAUTES</w:t>
            </w:r>
            <w:r w:rsidRPr="00D905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D9057B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 à partir de cette année</w:t>
            </w:r>
          </w:p>
          <w:p w:rsidR="00547FA6" w:rsidRDefault="00547FA6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547FA6" w:rsidRPr="00547FA6" w:rsidRDefault="00547FA6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47FA6"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  <w:t>Pour les baccalauréats généraux et technologiques, les DNB et CFG</w:t>
            </w:r>
            <w:r w:rsidRPr="00547FA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547FA6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</w:p>
          <w:p w:rsidR="00547FA6" w:rsidRDefault="00547FA6" w:rsidP="00547FA6">
            <w:pPr>
              <w:pStyle w:val="Paragraphedeliste"/>
              <w:spacing w:after="0" w:line="240" w:lineRule="auto"/>
              <w:ind w:left="360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La famille fait la demande sur l</w:t>
            </w:r>
            <w:r w:rsid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 formulaire «</w:t>
            </w:r>
            <w:r w:rsidR="00927BD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procédure simplifiée</w:t>
            </w:r>
            <w:r w:rsidR="00927BD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»</w:t>
            </w:r>
            <w:r w:rsidR="00EF7D9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.</w:t>
            </w:r>
          </w:p>
          <w:p w:rsidR="00547FA6" w:rsidRDefault="00547FA6" w:rsidP="00547FA6">
            <w:pPr>
              <w:pStyle w:val="Paragraphedeliste"/>
              <w:spacing w:after="0" w:line="240" w:lineRule="auto"/>
              <w:ind w:left="360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L’équipe pédagogique complète la colonne 2 de l’imprimé</w:t>
            </w:r>
            <w:r w:rsidR="00EF7D9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.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</w:p>
          <w:p w:rsidR="00547FA6" w:rsidRDefault="00547FA6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      L</w:t>
            </w:r>
            <w:r w:rsidRPr="00547FA6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e chef d’établissement valide, date et signe la dernière page. </w:t>
            </w:r>
          </w:p>
          <w:p w:rsidR="00547FA6" w:rsidRDefault="00547FA6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8E02A0" w:rsidRDefault="00547FA6" w:rsidP="00547FA6">
            <w:pPr>
              <w:jc w:val="both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547FA6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 xml:space="preserve">Il n’est plus nécessaire de joindre </w:t>
            </w:r>
            <w:r w:rsidR="00EF7D91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l</w:t>
            </w:r>
            <w:r w:rsidRPr="00547FA6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e PAI, PAP ou Gévasco</w:t>
            </w:r>
            <w:r w:rsidR="00EF7D91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547FA6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- notification MDPH</w:t>
            </w:r>
          </w:p>
          <w:p w:rsidR="00547FA6" w:rsidRDefault="00547FA6" w:rsidP="00547FA6">
            <w:pPr>
              <w:jc w:val="both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</w:p>
          <w:p w:rsidR="00547FA6" w:rsidRDefault="00547FA6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</w:pPr>
            <w:r w:rsidRPr="00547FA6"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  <w:t>Pour les examens professionnels, CAP, BAC</w:t>
            </w:r>
            <w:r w:rsidR="009E0A1D"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  <w:t xml:space="preserve"> </w:t>
            </w:r>
            <w:r w:rsidRPr="00547FA6"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  <w:t>PRO et BTS</w:t>
            </w:r>
            <w:r w:rsidRPr="007D0E1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D0E12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:rsidR="00547FA6" w:rsidRDefault="00927BD1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     </w:t>
            </w:r>
            <w:r w:rsidR="00547FA6"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Même procédure mais joindre 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le </w:t>
            </w:r>
            <w:r w:rsidR="00547FA6"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PAI, PAP ou G</w:t>
            </w:r>
            <w:r w:rsidR="009E0A1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é</w:t>
            </w:r>
            <w:r w:rsidR="00547FA6"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vasco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-</w:t>
            </w:r>
            <w:r w:rsidR="00547FA6"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notification MDPH</w:t>
            </w:r>
          </w:p>
          <w:p w:rsidR="00927BD1" w:rsidRPr="00927BD1" w:rsidRDefault="00927BD1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     à la demande du SIEC</w:t>
            </w:r>
            <w:r w:rsidR="009E0A1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.</w:t>
            </w:r>
          </w:p>
          <w:p w:rsidR="00547FA6" w:rsidRDefault="00547FA6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</w:pPr>
          </w:p>
          <w:p w:rsidR="00547FA6" w:rsidRDefault="00927BD1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Le PAI ou le PAP peut être signé par tout médecin, qu’il soit généraliste, spécialiste ou de l’</w:t>
            </w:r>
            <w:r w:rsidR="009E0A1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É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ducation nationale.</w:t>
            </w:r>
          </w:p>
          <w:p w:rsidR="00927BD1" w:rsidRDefault="00927BD1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</w:pPr>
          </w:p>
          <w:p w:rsidR="00927BD1" w:rsidRDefault="00927BD1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Pour rappel</w:t>
            </w:r>
            <w:r w:rsidRPr="00927BD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  il est inu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til</w:t>
            </w:r>
            <w:r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 de refaire signer par un médecin la page 1 d’un PAP déjà en place en vue de l’examen ou de signer un avenant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.</w:t>
            </w:r>
          </w:p>
          <w:p w:rsidR="00927BD1" w:rsidRPr="00927BD1" w:rsidRDefault="00927BD1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</w:t>
            </w:r>
            <w:r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 PAP élaboré à un moment de la scolarité reste valable jusqu’en termin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al</w:t>
            </w:r>
            <w:r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 si les difficultés en lien avec le trouble persistent.</w:t>
            </w:r>
          </w:p>
          <w:p w:rsidR="00927BD1" w:rsidRPr="00927BD1" w:rsidRDefault="00927BD1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Le PAI est à refaire à chaque changement d’établissement</w:t>
            </w:r>
            <w:r w:rsidR="009E0A1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.</w:t>
            </w:r>
          </w:p>
          <w:p w:rsidR="00547FA6" w:rsidRPr="00547FA6" w:rsidRDefault="00547FA6" w:rsidP="00547FA6">
            <w:pPr>
              <w:jc w:val="both"/>
              <w:rPr>
                <w:rFonts w:ascii="Marianne" w:eastAsia="Times New Roman" w:hAnsi="Marianne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8E02A0" w:rsidTr="00E47E9E">
        <w:tc>
          <w:tcPr>
            <w:tcW w:w="1980" w:type="dxa"/>
          </w:tcPr>
          <w:p w:rsidR="008E02A0" w:rsidRDefault="00927BD1" w:rsidP="00550A07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 qui envoyer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7649" w:type="dxa"/>
          </w:tcPr>
          <w:p w:rsidR="00E47E9E" w:rsidRPr="00550A07" w:rsidRDefault="00E47E9E" w:rsidP="00E47E9E">
            <w:pPr>
              <w:jc w:val="both"/>
              <w:rPr>
                <w:rFonts w:ascii="Marianne" w:eastAsia="Times New Roman" w:hAnsi="Marianne" w:cs="Calibri"/>
                <w:sz w:val="20"/>
                <w:szCs w:val="20"/>
                <w:lang w:eastAsia="fr-FR"/>
              </w:rPr>
            </w:pPr>
            <w:r w:rsidRPr="00E47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Envoi </w:t>
            </w:r>
            <w:r w:rsidR="007D0E12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de l’imprimé </w:t>
            </w:r>
            <w:r w:rsidR="00B8084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«</w:t>
            </w:r>
            <w:r w:rsidR="00B8084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7D0E12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procédure simplifiée</w:t>
            </w:r>
            <w:r w:rsidR="00B8084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B8084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»</w:t>
            </w:r>
            <w:r w:rsidR="007D0E12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  <w:r w:rsidR="00927BD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directement</w:t>
            </w:r>
            <w:r w:rsidRPr="00E47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au SIEC par l’établissement</w:t>
            </w:r>
            <w:r w:rsidR="009E0A1D">
              <w:rPr>
                <w:rFonts w:ascii="Marianne" w:eastAsia="Times New Roman" w:hAnsi="Marianne" w:cs="Calibri"/>
                <w:sz w:val="20"/>
                <w:szCs w:val="20"/>
                <w:lang w:eastAsia="fr-FR"/>
              </w:rPr>
              <w:t>.</w:t>
            </w:r>
          </w:p>
          <w:p w:rsidR="008E02A0" w:rsidRDefault="008E02A0" w:rsidP="008E02A0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8E02A0" w:rsidTr="00E47E9E">
        <w:tc>
          <w:tcPr>
            <w:tcW w:w="1980" w:type="dxa"/>
          </w:tcPr>
          <w:p w:rsidR="008E02A0" w:rsidRPr="00E47E9E" w:rsidRDefault="00E47E9E" w:rsidP="008E02A0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E47E9E">
              <w:rPr>
                <w:rFonts w:ascii="Marianne" w:eastAsia="Times New Roman" w:hAnsi="Marianne" w:cs="Calibri"/>
                <w:sz w:val="20"/>
                <w:szCs w:val="20"/>
                <w:lang w:eastAsia="fr-FR"/>
              </w:rPr>
              <w:t>Quand envoyer</w:t>
            </w:r>
            <w:r w:rsidRPr="00E47E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E47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7649" w:type="dxa"/>
          </w:tcPr>
          <w:p w:rsidR="008E02A0" w:rsidRDefault="00E47E9E" w:rsidP="008E02A0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Dès maintenant</w:t>
            </w:r>
            <w:r w:rsidRPr="00C167D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et </w:t>
            </w:r>
            <w:r w:rsidRPr="00927BD1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au plus tard au dernier jour des inscriptions</w:t>
            </w:r>
            <w:r w:rsidRPr="00C167D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à l’examen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concerné</w:t>
            </w:r>
            <w:r w:rsidRPr="00C167D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.</w:t>
            </w:r>
          </w:p>
          <w:p w:rsidR="00AA3D62" w:rsidRDefault="00AA3D62" w:rsidP="008E02A0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:rsidR="005B4246" w:rsidRDefault="005B4246" w:rsidP="008166F1">
      <w:pPr>
        <w:spacing w:after="0" w:line="240" w:lineRule="auto"/>
        <w:ind w:left="141" w:hanging="141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C167D5" w:rsidRDefault="00C167D5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8166F1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Default="00550A07" w:rsidP="00D369D6">
      <w:pPr>
        <w:spacing w:before="100" w:beforeAutospacing="1" w:after="100" w:afterAutospacing="1" w:line="276" w:lineRule="auto"/>
        <w:jc w:val="center"/>
        <w:rPr>
          <w:rFonts w:ascii="Marianne" w:eastAsia="Times New Roman" w:hAnsi="Marianne" w:cs="Times New Roman"/>
          <w:b/>
          <w:sz w:val="24"/>
          <w:szCs w:val="24"/>
          <w:u w:val="single"/>
          <w:lang w:eastAsia="fr-FR"/>
        </w:rPr>
      </w:pPr>
    </w:p>
    <w:p w:rsidR="0020279A" w:rsidRDefault="003F4EF0" w:rsidP="00550A07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sz w:val="24"/>
          <w:szCs w:val="24"/>
          <w:lang w:eastAsia="fr-FR"/>
        </w:rPr>
      </w:pPr>
      <w:r w:rsidRPr="00E47E9E">
        <w:rPr>
          <w:rFonts w:ascii="Marianne" w:eastAsia="Times New Roman" w:hAnsi="Marianne" w:cs="Times New Roman"/>
          <w:b/>
          <w:sz w:val="24"/>
          <w:szCs w:val="24"/>
          <w:u w:val="single"/>
          <w:lang w:eastAsia="fr-FR"/>
        </w:rPr>
        <w:t>PROCÉDURE COMPLÈTE</w:t>
      </w:r>
      <w:r w:rsidRPr="00BE6AE9">
        <w:rPr>
          <w:rFonts w:ascii="Calibri" w:eastAsia="Times New Roman" w:hAnsi="Calibri" w:cs="Calibri"/>
          <w:b/>
          <w:sz w:val="24"/>
          <w:szCs w:val="24"/>
          <w:lang w:eastAsia="fr-FR"/>
        </w:rPr>
        <w:t> </w:t>
      </w:r>
      <w:r w:rsidRPr="00E47E9E">
        <w:rPr>
          <w:rFonts w:ascii="Marianne" w:eastAsia="Times New Roman" w:hAnsi="Marianne" w:cs="Times New Roman"/>
          <w:sz w:val="24"/>
          <w:szCs w:val="24"/>
          <w:lang w:eastAsia="fr-FR"/>
        </w:rPr>
        <w:t>:</w:t>
      </w:r>
    </w:p>
    <w:p w:rsidR="00550A07" w:rsidRDefault="00550A07" w:rsidP="00550A07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E47E9E" w:rsidTr="00E47E9E">
        <w:tc>
          <w:tcPr>
            <w:tcW w:w="1980" w:type="dxa"/>
          </w:tcPr>
          <w:p w:rsidR="00E47E9E" w:rsidRDefault="00550A07" w:rsidP="00EF7D91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  <w:r w:rsidRPr="008E02A0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Concerne</w:t>
            </w:r>
          </w:p>
        </w:tc>
        <w:tc>
          <w:tcPr>
            <w:tcW w:w="7649" w:type="dxa"/>
          </w:tcPr>
          <w:p w:rsidR="00550A07" w:rsidRDefault="00550A07" w:rsidP="00550A07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E47E9E" w:rsidRDefault="00E47E9E" w:rsidP="00550A07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Les</w:t>
            </w:r>
            <w:r w:rsidRPr="00930EA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candidat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</w:t>
            </w:r>
            <w:r w:rsidRPr="00930EA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ne bénéfici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ant</w:t>
            </w:r>
            <w:r w:rsidRPr="00930EA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pas de PPS, PAI ou PAP </w:t>
            </w:r>
            <w:r w:rsidRPr="00471DEC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 si les</w:t>
            </w:r>
            <w:r w:rsidRPr="00930EA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aménagements 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demandés ne sont pas</w:t>
            </w:r>
            <w:r w:rsidRPr="00930EA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prévus da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ns le dispositif mis en place.</w:t>
            </w:r>
          </w:p>
          <w:p w:rsidR="00E47E9E" w:rsidRDefault="00E47E9E" w:rsidP="00550A07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E47E9E" w:rsidTr="002903D5">
        <w:trPr>
          <w:trHeight w:val="1483"/>
        </w:trPr>
        <w:tc>
          <w:tcPr>
            <w:tcW w:w="1980" w:type="dxa"/>
          </w:tcPr>
          <w:p w:rsidR="00E47E9E" w:rsidRDefault="00E47E9E" w:rsidP="00AA3D62">
            <w:pPr>
              <w:spacing w:before="100" w:beforeAutospacing="1" w:after="100" w:afterAutospacing="1" w:line="276" w:lineRule="auto"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  <w:r w:rsidRPr="008E02A0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Quels documents  transmettre</w:t>
            </w:r>
            <w:r w:rsidRPr="008E02A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EF7D91">
              <w:rPr>
                <w:rFonts w:ascii="Marianne" w:eastAsia="Times New Roman" w:hAnsi="Marianne" w:cs="Calibri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7649" w:type="dxa"/>
          </w:tcPr>
          <w:p w:rsidR="00E47E9E" w:rsidRPr="00E47E9E" w:rsidRDefault="00AA3D62" w:rsidP="00E47E9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</w:t>
            </w:r>
            <w:r w:rsidR="00EF7D91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</w:t>
            </w:r>
            <w:r>
              <w:t xml:space="preserve"> </w:t>
            </w:r>
            <w:r w:rsidRPr="00EF7D91">
              <w:rPr>
                <w:rFonts w:ascii="Marianne" w:hAnsi="Marianne"/>
                <w:sz w:val="20"/>
                <w:szCs w:val="20"/>
              </w:rPr>
              <w:t>f</w:t>
            </w:r>
            <w:r w:rsidR="00E47E9E" w:rsidRPr="00E47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ormulaire «</w:t>
            </w:r>
            <w:r w:rsidR="00E47E9E" w:rsidRPr="00E47E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E47E9E" w:rsidRPr="00E47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procédure complète</w:t>
            </w:r>
            <w:r w:rsidR="00E47E9E" w:rsidRPr="00E47E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E47E9E" w:rsidRPr="00E47E9E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» complété, daté et signé par le candidat et ses représentants légaux (s’il est mineur), et par l’équipe pédagogique et le chef d’établissement (s’il est scolarisé).</w:t>
            </w:r>
          </w:p>
          <w:p w:rsidR="00E47E9E" w:rsidRDefault="00E47E9E" w:rsidP="002903D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  <w:r w:rsidRPr="002903D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Les documents médicaux nécessaires pour constituer un dossier complet en fonction du type de handicap. (Cf. annexe jointe).</w:t>
            </w:r>
          </w:p>
        </w:tc>
      </w:tr>
      <w:tr w:rsidR="00E47E9E" w:rsidTr="00862B64">
        <w:trPr>
          <w:trHeight w:val="369"/>
        </w:trPr>
        <w:tc>
          <w:tcPr>
            <w:tcW w:w="1980" w:type="dxa"/>
          </w:tcPr>
          <w:p w:rsidR="00550A07" w:rsidRDefault="00550A07" w:rsidP="00550A07">
            <w:pPr>
              <w:spacing w:line="276" w:lineRule="auto"/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E47E9E" w:rsidRDefault="00E47E9E" w:rsidP="00550A07">
            <w:pPr>
              <w:spacing w:line="276" w:lineRule="auto"/>
              <w:jc w:val="center"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 qui envoyer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7649" w:type="dxa"/>
          </w:tcPr>
          <w:p w:rsidR="00550A07" w:rsidRDefault="00550A07" w:rsidP="00550A07">
            <w:pPr>
              <w:ind w:left="-709" w:firstLine="708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550A07" w:rsidRDefault="00862B64" w:rsidP="00550A07">
            <w:pPr>
              <w:ind w:left="-709" w:firstLine="708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62B6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Envoi au serv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ice</w:t>
            </w:r>
            <w:r w:rsidRPr="00862B6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médical élèves de la DSD</w:t>
            </w: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</w:t>
            </w:r>
            <w:r w:rsidR="00550A07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</w:p>
          <w:p w:rsidR="00E47E9E" w:rsidRPr="00550A07" w:rsidRDefault="00550A07" w:rsidP="00550A07">
            <w:pPr>
              <w:ind w:left="-709" w:firstLine="708"/>
              <w:rPr>
                <w:rFonts w:ascii="Marianne" w:eastAsia="Times New Roman" w:hAnsi="Marianne" w:cs="Times New Roman"/>
                <w:color w:val="0563C1" w:themeColor="hyperlink"/>
                <w:sz w:val="18"/>
                <w:szCs w:val="18"/>
                <w:u w:val="single"/>
                <w:lang w:eastAsia="fr-FR"/>
              </w:rPr>
            </w:pPr>
            <w:r w:rsidRPr="00EF7D91">
              <w:rPr>
                <w:rFonts w:ascii="Marianne" w:hAnsi="Marianne"/>
                <w:sz w:val="20"/>
                <w:szCs w:val="20"/>
              </w:rPr>
              <w:t>par mail</w:t>
            </w:r>
            <w:r>
              <w:t xml:space="preserve"> </w:t>
            </w:r>
            <w:hyperlink r:id="rId8" w:history="1">
              <w:r w:rsidRPr="00EF7D91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ce.ia95.ae@ac-versailles.fr</w:t>
              </w:r>
            </w:hyperlink>
            <w:r w:rsidR="00EF7D91" w:rsidRPr="00EF7D91">
              <w:rPr>
                <w:rStyle w:val="Lienhypertexte"/>
                <w:rFonts w:ascii="Marianne" w:eastAsia="Times New Roman" w:hAnsi="Marianne" w:cs="Times New Roman"/>
                <w:sz w:val="18"/>
                <w:szCs w:val="18"/>
                <w:u w:val="none"/>
                <w:lang w:eastAsia="fr-FR"/>
              </w:rPr>
              <w:t xml:space="preserve"> </w:t>
            </w:r>
            <w:r w:rsidRPr="00EF7D91">
              <w:rPr>
                <w:rFonts w:ascii="Marianne" w:hAnsi="Marianne"/>
                <w:sz w:val="20"/>
                <w:szCs w:val="20"/>
              </w:rPr>
              <w:t>ou par courrier à l’adresse ci-dessous</w:t>
            </w:r>
          </w:p>
          <w:p w:rsidR="00550A07" w:rsidRPr="00862B64" w:rsidRDefault="00550A07" w:rsidP="00550A07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E47E9E" w:rsidTr="00AA3D62">
        <w:trPr>
          <w:trHeight w:val="334"/>
        </w:trPr>
        <w:tc>
          <w:tcPr>
            <w:tcW w:w="1980" w:type="dxa"/>
          </w:tcPr>
          <w:p w:rsidR="00E47E9E" w:rsidRDefault="00E47E9E" w:rsidP="00E47E9E">
            <w:pPr>
              <w:spacing w:before="100" w:beforeAutospacing="1" w:after="100" w:afterAutospacing="1" w:line="276" w:lineRule="auto"/>
              <w:jc w:val="center"/>
              <w:rPr>
                <w:rFonts w:ascii="Marianne" w:eastAsia="Times New Roman" w:hAnsi="Marianne" w:cs="Times New Roman"/>
                <w:sz w:val="24"/>
                <w:szCs w:val="24"/>
                <w:lang w:eastAsia="fr-FR"/>
              </w:rPr>
            </w:pPr>
            <w:r w:rsidRPr="00E47E9E">
              <w:rPr>
                <w:rFonts w:ascii="Marianne" w:eastAsia="Times New Roman" w:hAnsi="Marianne" w:cs="Calibri"/>
                <w:sz w:val="20"/>
                <w:szCs w:val="20"/>
                <w:lang w:eastAsia="fr-FR"/>
              </w:rPr>
              <w:t>Quand envoyer</w:t>
            </w:r>
            <w:r w:rsidRPr="00E47E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E47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7649" w:type="dxa"/>
          </w:tcPr>
          <w:p w:rsidR="00AA3D62" w:rsidRDefault="00862B64" w:rsidP="00862B64">
            <w:pPr>
              <w:spacing w:before="100" w:beforeAutospacing="1" w:after="100" w:afterAutospacing="1" w:line="276" w:lineRule="auto"/>
              <w:rPr>
                <w:rStyle w:val="Lienhypertexte"/>
                <w:rFonts w:ascii="Marianne" w:eastAsia="Times New Roman" w:hAnsi="Marianne" w:cs="Times New Roman"/>
                <w:color w:val="auto"/>
                <w:sz w:val="20"/>
                <w:szCs w:val="20"/>
                <w:u w:val="none"/>
                <w:lang w:eastAsia="fr-FR"/>
              </w:rPr>
            </w:pPr>
            <w:r>
              <w:rPr>
                <w:rStyle w:val="Lienhypertexte"/>
                <w:rFonts w:ascii="Marianne" w:eastAsia="Times New Roman" w:hAnsi="Marianne" w:cs="Times New Roman"/>
                <w:color w:val="auto"/>
                <w:sz w:val="20"/>
                <w:szCs w:val="20"/>
                <w:u w:val="none"/>
                <w:lang w:eastAsia="fr-FR"/>
              </w:rPr>
              <w:t>Au plus tard le 1</w:t>
            </w:r>
            <w:r w:rsidR="00550A07">
              <w:rPr>
                <w:rStyle w:val="Lienhypertexte"/>
                <w:rFonts w:ascii="Marianne" w:eastAsia="Times New Roman" w:hAnsi="Marianne" w:cs="Times New Roman"/>
                <w:color w:val="auto"/>
                <w:sz w:val="20"/>
                <w:szCs w:val="20"/>
                <w:u w:val="none"/>
                <w:lang w:eastAsia="fr-FR"/>
              </w:rPr>
              <w:t>8</w:t>
            </w:r>
            <w:r>
              <w:rPr>
                <w:rStyle w:val="Lienhypertexte"/>
                <w:rFonts w:ascii="Marianne" w:eastAsia="Times New Roman" w:hAnsi="Marianne" w:cs="Times New Roman"/>
                <w:color w:val="auto"/>
                <w:sz w:val="20"/>
                <w:szCs w:val="20"/>
                <w:u w:val="none"/>
                <w:lang w:eastAsia="fr-FR"/>
              </w:rPr>
              <w:t>/12/202</w:t>
            </w:r>
            <w:r w:rsidR="00550A07">
              <w:rPr>
                <w:rStyle w:val="Lienhypertexte"/>
                <w:rFonts w:ascii="Marianne" w:eastAsia="Times New Roman" w:hAnsi="Marianne" w:cs="Times New Roman"/>
                <w:color w:val="auto"/>
                <w:sz w:val="20"/>
                <w:szCs w:val="20"/>
                <w:u w:val="none"/>
                <w:lang w:eastAsia="fr-FR"/>
              </w:rPr>
              <w:t>3</w:t>
            </w:r>
            <w:r>
              <w:rPr>
                <w:rStyle w:val="Lienhypertexte"/>
                <w:rFonts w:ascii="Marianne" w:eastAsia="Times New Roman" w:hAnsi="Marianne" w:cs="Times New Roman"/>
                <w:color w:val="auto"/>
                <w:sz w:val="20"/>
                <w:szCs w:val="20"/>
                <w:u w:val="none"/>
                <w:lang w:eastAsia="fr-FR"/>
              </w:rPr>
              <w:t>.</w:t>
            </w:r>
          </w:p>
          <w:p w:rsidR="00550A07" w:rsidRPr="00AA3D62" w:rsidRDefault="00550A07" w:rsidP="00862B64">
            <w:pPr>
              <w:spacing w:before="100" w:beforeAutospacing="1" w:after="100" w:afterAutospacing="1" w:line="276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:rsidR="00776CBC" w:rsidRDefault="00776CBC" w:rsidP="00776CB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550A07" w:rsidRDefault="00550A07" w:rsidP="00776CB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550A07" w:rsidRDefault="00550A07" w:rsidP="00776CB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550A07" w:rsidRPr="00C02B25" w:rsidRDefault="00550A07" w:rsidP="00776CB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20279A" w:rsidRPr="00D369D6" w:rsidRDefault="0020279A" w:rsidP="00316F79">
      <w:pPr>
        <w:spacing w:after="0" w:line="240" w:lineRule="auto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:rsidR="00550A07" w:rsidRDefault="003F4EF0" w:rsidP="0020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  <w:r w:rsidRPr="00930EA1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RAPPELS </w:t>
      </w:r>
      <w:r w:rsidR="00776CBC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IM</w:t>
      </w:r>
      <w:r w:rsidRPr="00930EA1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PORTANTS :</w:t>
      </w:r>
      <w:r w:rsidR="00316F79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 </w:t>
      </w:r>
    </w:p>
    <w:p w:rsidR="00EF7D91" w:rsidRDefault="00EF7D91" w:rsidP="0020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776CBC" w:rsidRDefault="003F4EF0" w:rsidP="0020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bookmarkStart w:id="0" w:name="_GoBack"/>
      <w:bookmarkEnd w:id="0"/>
      <w:r w:rsidRPr="00930EA1">
        <w:rPr>
          <w:rFonts w:ascii="Marianne" w:eastAsia="Times New Roman" w:hAnsi="Marianne" w:cs="Times New Roman"/>
          <w:sz w:val="20"/>
          <w:szCs w:val="20"/>
          <w:lang w:eastAsia="fr-FR"/>
        </w:rPr>
        <w:t>Un dossier incomplet ou hors délai ne sera pas étudié.</w:t>
      </w:r>
      <w:r w:rsidR="00776CBC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</w:p>
    <w:p w:rsidR="00D93172" w:rsidRDefault="003F4EF0" w:rsidP="0025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71DEC">
        <w:rPr>
          <w:rFonts w:ascii="Marianne" w:eastAsia="Times New Roman" w:hAnsi="Marianne" w:cs="Times New Roman"/>
          <w:b/>
          <w:sz w:val="20"/>
          <w:szCs w:val="20"/>
          <w:lang w:eastAsia="fr-FR"/>
        </w:rPr>
        <w:t>Les aménagements demandés à l'examen doivent être en cohérence avec ceux mis en place en classe</w:t>
      </w:r>
      <w:r w:rsidR="00D93172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  <w:r w:rsidRPr="00930EA1">
        <w:rPr>
          <w:rFonts w:ascii="Marianne" w:eastAsia="Times New Roman" w:hAnsi="Marianne" w:cs="Times New Roman"/>
          <w:sz w:val="20"/>
          <w:szCs w:val="20"/>
          <w:lang w:eastAsia="fr-FR"/>
        </w:rPr>
        <w:t>pendant l</w:t>
      </w:r>
      <w:r w:rsidR="00930EA1">
        <w:rPr>
          <w:rFonts w:ascii="Marianne" w:eastAsia="Times New Roman" w:hAnsi="Marianne" w:cs="Times New Roman"/>
          <w:sz w:val="20"/>
          <w:szCs w:val="20"/>
          <w:lang w:eastAsia="fr-FR"/>
        </w:rPr>
        <w:t>'année scolaire.</w:t>
      </w:r>
      <w:r w:rsidR="00316F79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</w:p>
    <w:p w:rsidR="00776CBC" w:rsidRDefault="00776CBC" w:rsidP="0025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550A07" w:rsidRPr="00C02B25" w:rsidRDefault="00550A07" w:rsidP="0025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Pour les élèves qui seraient victimes d’un accident dans les semaines précédant l’examen, il suffit d’envoyer directement au SIEC le certificat médical mentionnant la date d’arrêt et le formulaire </w:t>
      </w:r>
      <w:r w:rsidR="00BE6AE9">
        <w:rPr>
          <w:rFonts w:ascii="Marianne" w:hAnsi="Marianne" w:cs="Arial"/>
          <w:sz w:val="20"/>
          <w:szCs w:val="20"/>
        </w:rPr>
        <w:t>s</w:t>
      </w:r>
      <w:r>
        <w:rPr>
          <w:rFonts w:ascii="Marianne" w:hAnsi="Marianne" w:cs="Arial"/>
          <w:sz w:val="20"/>
          <w:szCs w:val="20"/>
        </w:rPr>
        <w:t>pécifique édité par le SIEC</w:t>
      </w:r>
      <w:r w:rsidR="00BE6AE9">
        <w:rPr>
          <w:rFonts w:ascii="Marianne" w:hAnsi="Marianne" w:cs="Arial"/>
          <w:sz w:val="20"/>
          <w:szCs w:val="20"/>
        </w:rPr>
        <w:t>.</w:t>
      </w:r>
    </w:p>
    <w:sectPr w:rsidR="00550A07" w:rsidRPr="00C02B25" w:rsidSect="002903D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F0" w:rsidRDefault="003F4EF0" w:rsidP="003F4EF0">
      <w:pPr>
        <w:spacing w:after="0" w:line="240" w:lineRule="auto"/>
      </w:pPr>
      <w:r>
        <w:separator/>
      </w:r>
    </w:p>
  </w:endnote>
  <w:endnote w:type="continuationSeparator" w:id="0">
    <w:p w:rsidR="003F4EF0" w:rsidRDefault="003F4EF0" w:rsidP="003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5" w:rsidRPr="002903D5" w:rsidRDefault="002903D5" w:rsidP="002903D5">
    <w:pPr>
      <w:spacing w:after="0" w:line="240" w:lineRule="auto"/>
      <w:rPr>
        <w:rFonts w:ascii="Marianne" w:eastAsia="Times New Roman" w:hAnsi="Marianne" w:cs="Times New Roman"/>
        <w:bCs/>
        <w:sz w:val="18"/>
        <w:szCs w:val="18"/>
        <w:lang w:eastAsia="fr-FR"/>
      </w:rPr>
    </w:pPr>
    <w:r w:rsidRPr="002903D5">
      <w:rPr>
        <w:rFonts w:ascii="Marianne" w:eastAsia="Times New Roman" w:hAnsi="Marianne" w:cs="Times New Roman"/>
        <w:bCs/>
        <w:sz w:val="18"/>
        <w:szCs w:val="18"/>
        <w:lang w:eastAsia="fr-FR"/>
      </w:rPr>
      <w:t>DSDEN 95 Service médical élèves Aménagement des examens</w:t>
    </w:r>
  </w:p>
  <w:p w:rsidR="002903D5" w:rsidRPr="002903D5" w:rsidRDefault="002903D5" w:rsidP="002903D5">
    <w:pPr>
      <w:spacing w:after="0" w:line="240" w:lineRule="auto"/>
      <w:rPr>
        <w:rFonts w:ascii="Marianne" w:eastAsia="Times New Roman" w:hAnsi="Marianne" w:cs="Times New Roman"/>
        <w:bCs/>
        <w:sz w:val="18"/>
        <w:szCs w:val="18"/>
        <w:lang w:eastAsia="fr-FR"/>
      </w:rPr>
    </w:pPr>
    <w:r w:rsidRPr="002903D5">
      <w:rPr>
        <w:rFonts w:ascii="Marianne" w:eastAsia="Times New Roman" w:hAnsi="Marianne" w:cs="Times New Roman"/>
        <w:bCs/>
        <w:sz w:val="18"/>
        <w:szCs w:val="18"/>
        <w:lang w:eastAsia="fr-FR"/>
      </w:rPr>
      <w:t xml:space="preserve">2A, avenue des arpents </w:t>
    </w:r>
  </w:p>
  <w:p w:rsidR="002903D5" w:rsidRPr="002903D5" w:rsidRDefault="002903D5" w:rsidP="002903D5">
    <w:pPr>
      <w:spacing w:after="0" w:line="240" w:lineRule="auto"/>
      <w:rPr>
        <w:rFonts w:ascii="Marianne" w:eastAsia="Times New Roman" w:hAnsi="Marianne" w:cs="Times New Roman"/>
        <w:bCs/>
        <w:sz w:val="18"/>
        <w:szCs w:val="18"/>
        <w:lang w:eastAsia="fr-FR"/>
      </w:rPr>
    </w:pPr>
    <w:r w:rsidRPr="002903D5">
      <w:rPr>
        <w:rFonts w:ascii="Marianne" w:eastAsia="Times New Roman" w:hAnsi="Marianne" w:cs="Times New Roman"/>
        <w:bCs/>
        <w:sz w:val="18"/>
        <w:szCs w:val="18"/>
        <w:lang w:eastAsia="fr-FR"/>
      </w:rPr>
      <w:t>95525 CERGY PONTOISE CEDEX</w:t>
    </w:r>
  </w:p>
  <w:p w:rsidR="002903D5" w:rsidRPr="002903D5" w:rsidRDefault="00EF7D91" w:rsidP="002903D5">
    <w:pPr>
      <w:spacing w:after="0" w:line="240" w:lineRule="auto"/>
      <w:ind w:left="-709" w:firstLine="708"/>
      <w:rPr>
        <w:rStyle w:val="Lienhypertexte"/>
        <w:rFonts w:ascii="Marianne" w:eastAsia="Times New Roman" w:hAnsi="Marianne" w:cs="Times New Roman"/>
        <w:sz w:val="18"/>
        <w:szCs w:val="18"/>
        <w:lang w:eastAsia="fr-FR"/>
      </w:rPr>
    </w:pPr>
    <w:hyperlink r:id="rId1" w:history="1">
      <w:r w:rsidR="002903D5" w:rsidRPr="002903D5">
        <w:rPr>
          <w:rStyle w:val="Lienhypertexte"/>
          <w:rFonts w:ascii="Marianne" w:eastAsia="Times New Roman" w:hAnsi="Marianne" w:cs="Times New Roman"/>
          <w:sz w:val="18"/>
          <w:szCs w:val="18"/>
          <w:lang w:eastAsia="fr-FR"/>
        </w:rPr>
        <w:t>ce.ia95.ae@ac-versailles.fr</w:t>
      </w:r>
    </w:hyperlink>
  </w:p>
  <w:p w:rsidR="002903D5" w:rsidRPr="002903D5" w:rsidRDefault="002903D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F0" w:rsidRDefault="003F4EF0" w:rsidP="003F4EF0">
      <w:pPr>
        <w:spacing w:after="0" w:line="240" w:lineRule="auto"/>
      </w:pPr>
      <w:r>
        <w:separator/>
      </w:r>
    </w:p>
  </w:footnote>
  <w:footnote w:type="continuationSeparator" w:id="0">
    <w:p w:rsidR="003F4EF0" w:rsidRDefault="003F4EF0" w:rsidP="003F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5" w:rsidRPr="00862B64" w:rsidRDefault="00F553F8" w:rsidP="002903D5">
    <w:pPr>
      <w:shd w:val="clear" w:color="auto" w:fill="EE7443"/>
      <w:spacing w:after="0" w:line="240" w:lineRule="auto"/>
      <w:jc w:val="center"/>
      <w:rPr>
        <w:rFonts w:ascii="Marianne" w:eastAsia="Times New Roman" w:hAnsi="Marianne" w:cs="Times New Roman"/>
        <w:sz w:val="24"/>
        <w:szCs w:val="24"/>
        <w:lang w:eastAsia="fr-FR"/>
      </w:rPr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AE3BF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2903D5">
      <w:tab/>
    </w:r>
    <w:r w:rsidR="002903D5" w:rsidRPr="002903D5">
      <w:rPr>
        <w:rFonts w:ascii="Marianne" w:eastAsia="Times New Roman" w:hAnsi="Marianne" w:cs="Times New Roman"/>
        <w:b/>
        <w:bCs/>
        <w:color w:val="FFFFFF"/>
        <w:sz w:val="24"/>
        <w:szCs w:val="24"/>
        <w:lang w:eastAsia="fr-FR"/>
      </w:rPr>
      <w:t>A</w:t>
    </w:r>
    <w:r w:rsidR="002903D5">
      <w:rPr>
        <w:rFonts w:ascii="Marianne" w:eastAsia="Times New Roman" w:hAnsi="Marianne" w:cs="Times New Roman"/>
        <w:b/>
        <w:bCs/>
        <w:color w:val="FFFFFF"/>
        <w:sz w:val="24"/>
        <w:szCs w:val="24"/>
        <w:lang w:eastAsia="fr-FR"/>
      </w:rPr>
      <w:t xml:space="preserve">ménagements des </w:t>
    </w:r>
    <w:r w:rsidR="002903D5" w:rsidRPr="00655DA6">
      <w:rPr>
        <w:rFonts w:ascii="Marianne" w:eastAsia="Times New Roman" w:hAnsi="Marianne" w:cs="Times New Roman"/>
        <w:b/>
        <w:bCs/>
        <w:color w:val="FFFFFF"/>
        <w:sz w:val="24"/>
        <w:szCs w:val="24"/>
        <w:lang w:eastAsia="fr-FR"/>
      </w:rPr>
      <w:t>examens et concours pour les candidats présentant un handicap</w:t>
    </w:r>
    <w:r w:rsidR="002903D5" w:rsidRPr="00930EA1">
      <w:rPr>
        <w:rFonts w:ascii="Marianne" w:eastAsia="Times New Roman" w:hAnsi="Marianne" w:cs="Times New Roman"/>
        <w:b/>
        <w:bCs/>
        <w:color w:val="FFFFFF"/>
        <w:sz w:val="24"/>
        <w:szCs w:val="24"/>
        <w:lang w:eastAsia="fr-FR"/>
      </w:rPr>
      <w:t xml:space="preserve">     SESSION 202</w:t>
    </w:r>
    <w:r w:rsidR="00AE2655">
      <w:rPr>
        <w:rFonts w:ascii="Marianne" w:eastAsia="Times New Roman" w:hAnsi="Marianne" w:cs="Times New Roman"/>
        <w:b/>
        <w:bCs/>
        <w:color w:val="FFFFFF"/>
        <w:sz w:val="24"/>
        <w:szCs w:val="24"/>
        <w:lang w:eastAsia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003"/>
    <w:multiLevelType w:val="hybridMultilevel"/>
    <w:tmpl w:val="32A449C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AB669E8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2" w:tplc="5306703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642A0"/>
    <w:multiLevelType w:val="hybridMultilevel"/>
    <w:tmpl w:val="CFC2FFB4"/>
    <w:lvl w:ilvl="0" w:tplc="3706532A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7979"/>
    <w:multiLevelType w:val="multilevel"/>
    <w:tmpl w:val="D92A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E37"/>
    <w:multiLevelType w:val="hybridMultilevel"/>
    <w:tmpl w:val="03761BA2"/>
    <w:lvl w:ilvl="0" w:tplc="99A02AFA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763D"/>
    <w:multiLevelType w:val="hybridMultilevel"/>
    <w:tmpl w:val="AB62841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19D4D6E"/>
    <w:multiLevelType w:val="hybridMultilevel"/>
    <w:tmpl w:val="2D94D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04764"/>
    <w:multiLevelType w:val="hybridMultilevel"/>
    <w:tmpl w:val="090C81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54544"/>
    <w:multiLevelType w:val="hybridMultilevel"/>
    <w:tmpl w:val="E594E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37EE4"/>
    <w:multiLevelType w:val="hybridMultilevel"/>
    <w:tmpl w:val="8D1E2664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AD2149"/>
    <w:multiLevelType w:val="hybridMultilevel"/>
    <w:tmpl w:val="5CA0E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E61AB"/>
    <w:multiLevelType w:val="hybridMultilevel"/>
    <w:tmpl w:val="46AA496E"/>
    <w:lvl w:ilvl="0" w:tplc="DD8CD712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F0"/>
    <w:rsid w:val="00062D67"/>
    <w:rsid w:val="00091CE3"/>
    <w:rsid w:val="0020279A"/>
    <w:rsid w:val="0022604E"/>
    <w:rsid w:val="002579AB"/>
    <w:rsid w:val="002903D5"/>
    <w:rsid w:val="00316F79"/>
    <w:rsid w:val="00333C2F"/>
    <w:rsid w:val="00356BF5"/>
    <w:rsid w:val="003F4EF0"/>
    <w:rsid w:val="00471DEC"/>
    <w:rsid w:val="00545464"/>
    <w:rsid w:val="00547FA6"/>
    <w:rsid w:val="00550A07"/>
    <w:rsid w:val="005B245C"/>
    <w:rsid w:val="005B4246"/>
    <w:rsid w:val="005C5052"/>
    <w:rsid w:val="005E4FE0"/>
    <w:rsid w:val="00655DA6"/>
    <w:rsid w:val="006A10FD"/>
    <w:rsid w:val="00776CBC"/>
    <w:rsid w:val="007A1F77"/>
    <w:rsid w:val="007D0E12"/>
    <w:rsid w:val="007D3204"/>
    <w:rsid w:val="008166F1"/>
    <w:rsid w:val="008577E2"/>
    <w:rsid w:val="00862B64"/>
    <w:rsid w:val="008733F0"/>
    <w:rsid w:val="008E02A0"/>
    <w:rsid w:val="008E70B4"/>
    <w:rsid w:val="008F6527"/>
    <w:rsid w:val="009158E9"/>
    <w:rsid w:val="00920E48"/>
    <w:rsid w:val="00927BD1"/>
    <w:rsid w:val="00930EA1"/>
    <w:rsid w:val="00961104"/>
    <w:rsid w:val="0099271D"/>
    <w:rsid w:val="009A13CB"/>
    <w:rsid w:val="009C5D2C"/>
    <w:rsid w:val="009E0A1D"/>
    <w:rsid w:val="00A95BE0"/>
    <w:rsid w:val="00AA3D62"/>
    <w:rsid w:val="00AE2655"/>
    <w:rsid w:val="00B8084F"/>
    <w:rsid w:val="00BB350F"/>
    <w:rsid w:val="00BC3A95"/>
    <w:rsid w:val="00BE6AE9"/>
    <w:rsid w:val="00C167D5"/>
    <w:rsid w:val="00C8009E"/>
    <w:rsid w:val="00CC0B11"/>
    <w:rsid w:val="00D369D6"/>
    <w:rsid w:val="00D9057B"/>
    <w:rsid w:val="00D93172"/>
    <w:rsid w:val="00DC01BD"/>
    <w:rsid w:val="00E16C9A"/>
    <w:rsid w:val="00E47E9E"/>
    <w:rsid w:val="00E85F10"/>
    <w:rsid w:val="00E921CD"/>
    <w:rsid w:val="00EF7D91"/>
    <w:rsid w:val="00F02E99"/>
    <w:rsid w:val="00F40EC4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14FB1"/>
  <w15:chartTrackingRefBased/>
  <w15:docId w15:val="{8BDC364C-9967-437F-92AE-39A45BA7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4EF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EF0"/>
  </w:style>
  <w:style w:type="paragraph" w:styleId="Pieddepage">
    <w:name w:val="footer"/>
    <w:basedOn w:val="Normal"/>
    <w:link w:val="PieddepageCar"/>
    <w:uiPriority w:val="99"/>
    <w:unhideWhenUsed/>
    <w:rsid w:val="003F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EF0"/>
  </w:style>
  <w:style w:type="paragraph" w:styleId="Paragraphedeliste">
    <w:name w:val="List Paragraph"/>
    <w:basedOn w:val="Normal"/>
    <w:uiPriority w:val="34"/>
    <w:qFormat/>
    <w:rsid w:val="00776CBC"/>
    <w:pPr>
      <w:spacing w:after="200" w:line="276" w:lineRule="auto"/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76CBC"/>
    <w:rPr>
      <w:i/>
      <w:iCs/>
      <w:color w:val="5B9BD5" w:themeColor="accent1"/>
    </w:rPr>
  </w:style>
  <w:style w:type="paragraph" w:styleId="Sansinterligne">
    <w:name w:val="No Spacing"/>
    <w:uiPriority w:val="1"/>
    <w:qFormat/>
    <w:rsid w:val="00776CB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90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95.ae@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bo/22/Hebdo14/MENE2204112C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ia95.ae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Marie-Francoise Thiebaut</dc:creator>
  <cp:keywords/>
  <dc:description/>
  <cp:lastModifiedBy>Sylvie Antelme</cp:lastModifiedBy>
  <cp:revision>9</cp:revision>
  <cp:lastPrinted>2022-10-21T13:19:00Z</cp:lastPrinted>
  <dcterms:created xsi:type="dcterms:W3CDTF">2023-10-17T13:48:00Z</dcterms:created>
  <dcterms:modified xsi:type="dcterms:W3CDTF">2023-10-17T15:13:00Z</dcterms:modified>
</cp:coreProperties>
</file>